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36"/>
          <w:rFonts w:eastAsia="方正小标宋简体"/>
          <w:bCs w:val="0"/>
          <w:color w:val="auto"/>
          <w:sz w:val="36"/>
          <w:szCs w:val="36"/>
        </w:rPr>
      </w:pPr>
      <w:r>
        <w:rPr>
          <w:rStyle w:val="36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>
      <w:pPr>
        <w:spacing w:line="440" w:lineRule="exact"/>
        <w:rPr>
          <w:rFonts w:eastAsia="仿宋_GB2312"/>
          <w:color w:val="auto"/>
          <w:sz w:val="28"/>
          <w:szCs w:val="24"/>
        </w:rPr>
      </w:pPr>
      <w:r>
        <w:rPr>
          <w:rFonts w:eastAsia="仿宋_GB2312"/>
          <w:color w:val="auto"/>
          <w:sz w:val="28"/>
          <w:szCs w:val="24"/>
        </w:rPr>
        <w:t>提名奖项：科学技术进步奖</w:t>
      </w:r>
    </w:p>
    <w:tbl>
      <w:tblPr>
        <w:tblStyle w:val="21"/>
        <w:tblW w:w="8768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49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>
            <w:pPr>
              <w:jc w:val="center"/>
              <w:rPr>
                <w:rStyle w:val="36"/>
                <w:rFonts w:hint="eastAsia" w:ascii="仿宋" w:hAnsi="仿宋" w:eastAsia="仿宋" w:cs="仿宋"/>
                <w:b w:val="0"/>
                <w:color w:val="auto"/>
                <w:sz w:val="28"/>
              </w:rPr>
            </w:pPr>
            <w:r>
              <w:rPr>
                <w:rStyle w:val="36"/>
                <w:rFonts w:hint="eastAsia" w:ascii="仿宋" w:hAnsi="仿宋" w:eastAsia="仿宋" w:cs="仿宋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49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半导体单晶炉用超导磁体系统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2269" w:type="dxa"/>
            <w:vAlign w:val="center"/>
          </w:tcPr>
          <w:p>
            <w:pPr>
              <w:jc w:val="center"/>
              <w:rPr>
                <w:rStyle w:val="36"/>
                <w:rFonts w:hint="eastAsia" w:ascii="仿宋" w:hAnsi="仿宋" w:eastAsia="仿宋" w:cs="仿宋"/>
                <w:b w:val="0"/>
                <w:color w:val="auto"/>
                <w:sz w:val="28"/>
              </w:rPr>
            </w:pPr>
            <w:r>
              <w:rPr>
                <w:rStyle w:val="36"/>
                <w:rFonts w:hint="eastAsia" w:ascii="仿宋" w:hAnsi="仿宋" w:eastAsia="仿宋" w:cs="仿宋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49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一等奖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0" w:hRule="atLeast"/>
        </w:trPr>
        <w:tc>
          <w:tcPr>
            <w:tcW w:w="2269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Cs/>
                <w:color w:val="auto"/>
                <w:sz w:val="28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8"/>
                <w:szCs w:val="24"/>
              </w:rPr>
              <w:t>提名书</w:t>
            </w:r>
          </w:p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Cs/>
                <w:color w:val="auto"/>
                <w:sz w:val="28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8"/>
                <w:szCs w:val="24"/>
              </w:rPr>
              <w:t>相关内容</w:t>
            </w:r>
          </w:p>
        </w:tc>
        <w:tc>
          <w:tcPr>
            <w:tcW w:w="6499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  <w:t>详见附件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1、主要知识产权和标准规范目录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Cs/>
                <w:color w:val="auto"/>
                <w:sz w:val="28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8"/>
                <w:szCs w:val="24"/>
              </w:rPr>
              <w:t>主要完成人</w:t>
            </w:r>
          </w:p>
        </w:tc>
        <w:tc>
          <w:tcPr>
            <w:tcW w:w="6499" w:type="dxa"/>
            <w:tcBorders>
              <w:lef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刘黎明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，排名1，工程师，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杭州慧翔电液技术开发有限公司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  <w:t>；</w:t>
            </w:r>
          </w:p>
          <w:p>
            <w:pPr>
              <w:spacing w:line="440" w:lineRule="exact"/>
              <w:jc w:val="both"/>
              <w:rPr>
                <w:rFonts w:hint="eastAsia" w:ascii="仿宋" w:hAnsi="仿宋" w:eastAsia="仿宋" w:cs="仿宋"/>
                <w:color w:val="auto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刘赛波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，工程师，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杭州慧翔电液技术开发有限公司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  <w:t>；</w:t>
            </w:r>
          </w:p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苏小海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，工程师，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杭州慧翔电液技术开发有限公司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  <w:t>；</w:t>
            </w:r>
          </w:p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张海栋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，工程师，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杭州慧翔电液技术开发有限公司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  <w:t>；</w:t>
            </w:r>
          </w:p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郑国栋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，工程师，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杭州慧翔电液技术开发有限公司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  <w:t>；</w:t>
            </w:r>
          </w:p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何爱军，排名6，工程师，杭州慧翔电液技术开发有限公司；</w:t>
            </w:r>
          </w:p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牛加振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，工程师，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杭州慧翔电液技术开发有限公司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  <w:t>；</w:t>
            </w:r>
          </w:p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张瀛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，工程师，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杭州慧翔电液技术开发有限公司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  <w:t>；</w:t>
            </w:r>
          </w:p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张楚楠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，工程师，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杭州慧翔电液技术开发有限公司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  <w:t>；</w:t>
            </w:r>
          </w:p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许皆平，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排名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，工程师，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杭州慧翔电液技术开发有限公司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  <w:t>；</w:t>
            </w:r>
          </w:p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刘统亮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，排名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，工程师，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杭州慧翔电液技术开发有限公司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6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8"/>
                <w:szCs w:val="24"/>
              </w:rPr>
              <w:t>主要完成单位</w:t>
            </w:r>
          </w:p>
        </w:tc>
        <w:tc>
          <w:tcPr>
            <w:tcW w:w="6499" w:type="dxa"/>
            <w:tcBorders>
              <w:lef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1.单位名称：</w:t>
            </w: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杭州慧翔电液技术开发有限公司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269" w:type="dxa"/>
            <w:vAlign w:val="center"/>
          </w:tcPr>
          <w:p>
            <w:pPr>
              <w:jc w:val="center"/>
              <w:rPr>
                <w:rStyle w:val="36"/>
                <w:rFonts w:hint="eastAsia" w:ascii="仿宋" w:hAnsi="仿宋" w:eastAsia="仿宋" w:cs="仿宋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hint="eastAsia" w:ascii="仿宋" w:hAnsi="仿宋" w:eastAsia="仿宋" w:cs="仿宋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49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杭州市人民政府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>
            <w:pPr>
              <w:jc w:val="center"/>
              <w:rPr>
                <w:rStyle w:val="36"/>
                <w:rFonts w:hint="eastAsia" w:ascii="仿宋" w:hAnsi="仿宋" w:eastAsia="仿宋" w:cs="仿宋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hint="eastAsia" w:ascii="仿宋" w:hAnsi="仿宋" w:eastAsia="仿宋" w:cs="仿宋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499" w:type="dxa"/>
            <w:vAlign w:val="center"/>
          </w:tcPr>
          <w:p>
            <w:pPr>
              <w:pageBreakBefore w:val="0"/>
              <w:numPr>
                <w:ilvl w:val="0"/>
                <w:numId w:val="0"/>
              </w:numPr>
              <w:bidi w:val="0"/>
              <w:adjustRightInd w:val="0"/>
              <w:snapToGrid/>
              <w:spacing w:line="240" w:lineRule="auto"/>
              <w:ind w:leftChars="0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该项目产品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针对大尺寸单晶硅生长设备的“卡脖子”现状，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通过对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线圈配置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失超模拟分析与失超保护方案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超导线圈绕制工艺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专用电源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eastAsia="zh-CN"/>
              </w:rPr>
              <w:t>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制冷机维护结构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eastAsia="zh-CN"/>
              </w:rPr>
              <w:t>等研究开发以及对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温度传感器标定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eastAsia="zh-CN"/>
              </w:rPr>
              <w:t>，使其能够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提供稳定的横向磁场，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无需液氦冷却，能够采用传导冷却的方式对勾型磁场单晶炉超导磁体进行直接冷却，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有效抑制拉晶过程中的热对流，有效降低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eastAsia="zh-CN"/>
              </w:rPr>
              <w:t>了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晶体中的氧杂质含量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从而有效降低半导体单晶硅的生产成本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。该项目产品的成功开发与实施，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实现了生产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无液氦勾型磁场超导磁体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打破了国外</w:t>
            </w: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/>
              </w:rPr>
              <w:t>半导体行业的技术垄断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，填补了国内空白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/>
              </w:rPr>
              <w:t>打破了受到国外液氦进口的限制，突破国内首台干式CUSP超导磁体的生产制造，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在光伏产业链及半导体产业链的硅晶材料制造中做出了重要贡献。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提名该成果为省科技进步奖一等奖。</w:t>
            </w:r>
          </w:p>
        </w:tc>
      </w:tr>
    </w:tbl>
    <w:p>
      <w:pPr>
        <w:adjustRightInd w:val="0"/>
        <w:snapToGrid w:val="0"/>
        <w:spacing w:line="560" w:lineRule="exact"/>
        <w:rPr>
          <w:rFonts w:eastAsia="仿宋_GB2312"/>
          <w:color w:val="auto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pStyle w:val="5"/>
        <w:jc w:val="center"/>
        <w:rPr>
          <w:rFonts w:eastAsia="方正黑体简体"/>
          <w:color w:val="auto"/>
          <w:sz w:val="32"/>
          <w:szCs w:val="22"/>
        </w:rPr>
      </w:pPr>
      <w:r>
        <w:rPr>
          <w:rFonts w:hint="eastAsia" w:eastAsia="方正黑体简体"/>
          <w:color w:val="auto"/>
          <w:sz w:val="32"/>
          <w:szCs w:val="22"/>
          <w:lang w:eastAsia="zh-CN"/>
        </w:rPr>
        <w:t>附件</w:t>
      </w:r>
      <w:r>
        <w:rPr>
          <w:rFonts w:hint="eastAsia" w:eastAsia="方正黑体简体"/>
          <w:color w:val="auto"/>
          <w:sz w:val="32"/>
          <w:szCs w:val="22"/>
          <w:lang w:val="en-US" w:eastAsia="zh-CN"/>
        </w:rPr>
        <w:t>1、</w:t>
      </w:r>
      <w:r>
        <w:rPr>
          <w:rFonts w:eastAsia="方正黑体简体"/>
          <w:color w:val="auto"/>
          <w:sz w:val="32"/>
          <w:szCs w:val="22"/>
        </w:rPr>
        <w:t>主要知识产权和标准规范目录</w:t>
      </w:r>
    </w:p>
    <w:tbl>
      <w:tblPr>
        <w:tblStyle w:val="21"/>
        <w:tblW w:w="1459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2577"/>
        <w:gridCol w:w="992"/>
        <w:gridCol w:w="1655"/>
        <w:gridCol w:w="1213"/>
        <w:gridCol w:w="1213"/>
        <w:gridCol w:w="1213"/>
        <w:gridCol w:w="2215"/>
        <w:gridCol w:w="22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auto"/>
                <w:sz w:val="24"/>
                <w:szCs w:val="21"/>
              </w:rPr>
            </w:pPr>
            <w:r>
              <w:rPr>
                <w:rFonts w:eastAsia="仿宋_GB2312"/>
                <w:color w:val="auto"/>
                <w:sz w:val="24"/>
                <w:szCs w:val="21"/>
              </w:rPr>
              <w:t>知识产权</w:t>
            </w:r>
          </w:p>
          <w:p>
            <w:pPr>
              <w:jc w:val="center"/>
              <w:rPr>
                <w:rFonts w:eastAsia="仿宋_GB2312"/>
                <w:color w:val="auto"/>
                <w:sz w:val="24"/>
                <w:szCs w:val="21"/>
              </w:rPr>
            </w:pPr>
            <w:r>
              <w:rPr>
                <w:rFonts w:eastAsia="仿宋_GB2312"/>
                <w:color w:val="auto"/>
                <w:sz w:val="24"/>
                <w:szCs w:val="21"/>
              </w:rPr>
              <w:t>（标准规范）类别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auto"/>
                <w:sz w:val="24"/>
                <w:szCs w:val="21"/>
              </w:rPr>
            </w:pPr>
            <w:r>
              <w:rPr>
                <w:rFonts w:eastAsia="仿宋_GB2312"/>
                <w:color w:val="auto"/>
                <w:sz w:val="24"/>
                <w:szCs w:val="21"/>
              </w:rPr>
              <w:t>知识产权（标准规范）具体名称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auto"/>
                <w:sz w:val="24"/>
                <w:szCs w:val="21"/>
              </w:rPr>
            </w:pPr>
            <w:r>
              <w:rPr>
                <w:rFonts w:eastAsia="仿宋_GB2312"/>
                <w:color w:val="auto"/>
                <w:sz w:val="24"/>
                <w:szCs w:val="21"/>
              </w:rPr>
              <w:t>国家</w:t>
            </w:r>
          </w:p>
          <w:p>
            <w:pPr>
              <w:jc w:val="center"/>
              <w:rPr>
                <w:rFonts w:eastAsia="仿宋_GB2312"/>
                <w:bCs/>
                <w:snapToGrid w:val="0"/>
                <w:color w:val="auto"/>
                <w:kern w:val="0"/>
                <w:sz w:val="24"/>
                <w:szCs w:val="21"/>
              </w:rPr>
            </w:pPr>
            <w:r>
              <w:rPr>
                <w:rFonts w:eastAsia="仿宋_GB2312"/>
                <w:bCs/>
                <w:snapToGrid w:val="0"/>
                <w:color w:val="auto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auto"/>
                <w:sz w:val="24"/>
                <w:szCs w:val="21"/>
              </w:rPr>
            </w:pPr>
            <w:r>
              <w:rPr>
                <w:rFonts w:eastAsia="仿宋_GB2312"/>
                <w:color w:val="auto"/>
                <w:sz w:val="24"/>
                <w:szCs w:val="21"/>
              </w:rPr>
              <w:t>授权号</w:t>
            </w:r>
          </w:p>
          <w:p>
            <w:pPr>
              <w:jc w:val="center"/>
              <w:rPr>
                <w:rFonts w:eastAsia="仿宋_GB2312"/>
                <w:color w:val="auto"/>
                <w:sz w:val="24"/>
                <w:szCs w:val="21"/>
              </w:rPr>
            </w:pPr>
            <w:r>
              <w:rPr>
                <w:rFonts w:eastAsia="仿宋_GB2312"/>
                <w:color w:val="auto"/>
                <w:sz w:val="24"/>
                <w:szCs w:val="21"/>
              </w:rPr>
              <w:t>（标准规范编号）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auto"/>
                <w:sz w:val="24"/>
                <w:szCs w:val="21"/>
              </w:rPr>
            </w:pPr>
            <w:r>
              <w:rPr>
                <w:rFonts w:eastAsia="仿宋_GB2312"/>
                <w:color w:val="auto"/>
                <w:sz w:val="24"/>
                <w:szCs w:val="21"/>
              </w:rPr>
              <w:t>授权</w:t>
            </w:r>
          </w:p>
          <w:p>
            <w:pPr>
              <w:jc w:val="center"/>
              <w:rPr>
                <w:rFonts w:eastAsia="仿宋_GB2312"/>
                <w:color w:val="auto"/>
                <w:sz w:val="24"/>
                <w:szCs w:val="21"/>
              </w:rPr>
            </w:pPr>
            <w:r>
              <w:rPr>
                <w:rFonts w:eastAsia="仿宋_GB2312"/>
                <w:color w:val="auto"/>
                <w:sz w:val="24"/>
                <w:szCs w:val="21"/>
              </w:rPr>
              <w:t>（标准发布）</w:t>
            </w:r>
          </w:p>
          <w:p>
            <w:pPr>
              <w:jc w:val="center"/>
              <w:rPr>
                <w:rFonts w:eastAsia="仿宋_GB2312"/>
                <w:color w:val="auto"/>
                <w:sz w:val="24"/>
                <w:szCs w:val="21"/>
              </w:rPr>
            </w:pPr>
            <w:r>
              <w:rPr>
                <w:rFonts w:eastAsia="仿宋_GB2312"/>
                <w:color w:val="auto"/>
                <w:sz w:val="24"/>
                <w:szCs w:val="21"/>
              </w:rPr>
              <w:t>日期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auto"/>
                <w:sz w:val="24"/>
                <w:szCs w:val="21"/>
              </w:rPr>
            </w:pPr>
            <w:r>
              <w:rPr>
                <w:rFonts w:eastAsia="仿宋_GB2312"/>
                <w:color w:val="auto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auto"/>
                <w:sz w:val="24"/>
                <w:szCs w:val="21"/>
              </w:rPr>
            </w:pPr>
            <w:r>
              <w:rPr>
                <w:rFonts w:eastAsia="仿宋_GB2312"/>
                <w:color w:val="auto"/>
                <w:sz w:val="24"/>
                <w:szCs w:val="21"/>
              </w:rPr>
              <w:t>权利人（标准规范起草单位）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auto"/>
                <w:sz w:val="24"/>
                <w:szCs w:val="21"/>
              </w:rPr>
            </w:pPr>
            <w:r>
              <w:rPr>
                <w:rFonts w:eastAsia="仿宋_GB2312"/>
                <w:color w:val="auto"/>
                <w:sz w:val="24"/>
                <w:szCs w:val="21"/>
              </w:rPr>
              <w:t>发明人（标准规范起草人）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auto"/>
                <w:sz w:val="24"/>
                <w:szCs w:val="21"/>
              </w:rPr>
            </w:pPr>
            <w:r>
              <w:rPr>
                <w:rFonts w:eastAsia="仿宋_GB2312"/>
                <w:color w:val="auto"/>
                <w:sz w:val="24"/>
                <w:szCs w:val="21"/>
              </w:rPr>
              <w:t>发明专利（标准规范）有效状态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发明专利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一种自循环超导磁体及半导体单晶炉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ZL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202211480180.9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2023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03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10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证书号第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5773008号</w:t>
            </w:r>
            <w:bookmarkStart w:id="0" w:name="_GoBack"/>
            <w:bookmarkEnd w:id="0"/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杭州慧翔电液技术开发有限公司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苏小海，刘黎明，许皆平，刘赛波，张海栋，刘统亮，张利坤，牛加振，何爱军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有效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发明专利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一种可实现多级气体分流的磁流体密封装置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ZL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202011286330.3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2022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09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20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证书号第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5466646号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杭州慧翔电液技术开发有限公司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张楚楠、张瀛、周永君、刘黎明、刘赛波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有效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发明专利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集成高精度旋转功能的磁流体密封装置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ZL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201910796434.X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2021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10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08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证书号第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4719495号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杭州慧翔电液技术开发有限公司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刘黎明，周永君，张瀛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有效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发明专利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用于刻蚀机的高速旋转磁流体传动装置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ZL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201910796429.9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2021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02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05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证书号第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4243100号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杭州慧翔电液技术开发有限公司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刘黎明，周永君，张瀛，张楚楠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有效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3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实用新型专利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带抽真空通道的磁流体密封传动装置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ZL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201921405074.8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2020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07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17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证书号第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11008856号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杭州慧翔电液技术开发有限公司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刘黎明，张楚楠，周永君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有效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实用新型专利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2"/>
                <w:sz w:val="24"/>
                <w:szCs w:val="24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一种双轴转动的磁流体密封装置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ZL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202022809048.0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2"/>
                <w:sz w:val="24"/>
                <w:szCs w:val="24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2021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eastAsia="zh-CN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10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08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证书号第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14338894号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杭州慧翔电液技术开发有限公司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2"/>
                <w:sz w:val="24"/>
                <w:szCs w:val="24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张瀛，张楚楠，刘黎明，周永君，刘赛波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有效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实用新型专利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2"/>
                <w:sz w:val="24"/>
                <w:szCs w:val="24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一种可以模拟磁流体轴端受力的测试装置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ZL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202022663897.X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2"/>
                <w:sz w:val="24"/>
                <w:szCs w:val="24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2021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08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.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31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证书号第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14082977号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杭州慧翔电液技术开发有限公司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kern w:val="2"/>
                <w:sz w:val="24"/>
                <w:szCs w:val="24"/>
                <w:shd w:val="clear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张瀛，周永君，张楚楠，刘赛波，刘黎明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lang w:eastAsia="zh-CN"/>
              </w:rPr>
              <w:t>有效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团体标准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  <w:t>直拉单晶硅用超导磁体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highlight w:val="none"/>
                <w:lang w:eastAsia="zh-CN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T/EBQIA 073-2022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shd w:val="clear" w:fill="FFFFFF"/>
                <w:lang w:val="en-US" w:eastAsia="zh-CN"/>
              </w:rPr>
              <w:t>2022.4.23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highlight w:val="none"/>
                <w:lang w:eastAsia="zh-CN"/>
              </w:rPr>
              <w:t>河北省质量信息协会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杭州慧翔电液技术开发有限公司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shd w:val="clear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highlight w:val="none"/>
                <w:shd w:val="clear" w:fill="FFFFFF"/>
              </w:rPr>
              <w:t>刘黎明、刘赛波、苏小海、何爱军、石世峰、苏伟学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highlight w:val="none"/>
                <w:lang w:eastAsia="zh-CN"/>
              </w:rPr>
              <w:t>有效</w:t>
            </w:r>
          </w:p>
        </w:tc>
      </w:tr>
    </w:tbl>
    <w:p>
      <w:pPr>
        <w:adjustRightInd w:val="0"/>
        <w:snapToGrid w:val="0"/>
        <w:spacing w:line="560" w:lineRule="exact"/>
        <w:rPr>
          <w:rFonts w:eastAsia="仿宋_GB2312"/>
          <w:color w:val="auto"/>
          <w:sz w:val="32"/>
          <w:szCs w:val="32"/>
        </w:rPr>
      </w:pPr>
    </w:p>
    <w:sectPr>
      <w:pgSz w:w="16838" w:h="11906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335678D-582A-4782-BC43-8EF1565468F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2F9A2CC-3921-492E-8058-93F2D8E5EFD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2CE9F85-F509-45B2-A813-7074D7ADE26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86D99CA-F536-4D1F-827E-E5AAA1061E33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7931A100-3CF8-4284-BF03-3128B12FD466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83560D00-6683-47A8-9878-8EBB017B0E0C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95FF4382-CCAB-40B1-9867-B3CF780347D2}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E97CF422-A68C-40FB-B837-7F899E6D24C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79D3CE33-CD63-4B82-95BB-13E8C62713AF}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0" w:fontKey="{04B5875C-A034-44D7-A1B6-921B8F07995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>
        <w:pPr>
          <w:pStyle w:val="10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142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zMjczNzcxNjJlM2QwZDFkZDM5ZTVhYjkwZjEzM2QifQ==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D0ED0"/>
    <w:rsid w:val="00BE7259"/>
    <w:rsid w:val="00C1057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48B9"/>
    <w:rsid w:val="00FF49EB"/>
    <w:rsid w:val="02883661"/>
    <w:rsid w:val="04A9605B"/>
    <w:rsid w:val="063B5B78"/>
    <w:rsid w:val="06EE0426"/>
    <w:rsid w:val="07CA76CE"/>
    <w:rsid w:val="08E33793"/>
    <w:rsid w:val="09434D9D"/>
    <w:rsid w:val="09F92B1D"/>
    <w:rsid w:val="0A694752"/>
    <w:rsid w:val="0AD10D6A"/>
    <w:rsid w:val="0BB30987"/>
    <w:rsid w:val="0CB7047B"/>
    <w:rsid w:val="0DF07EE3"/>
    <w:rsid w:val="0E1C5BA9"/>
    <w:rsid w:val="0E643518"/>
    <w:rsid w:val="0F3146E8"/>
    <w:rsid w:val="0F675619"/>
    <w:rsid w:val="0FCE7658"/>
    <w:rsid w:val="10344DD0"/>
    <w:rsid w:val="10DD4EBB"/>
    <w:rsid w:val="15F93F79"/>
    <w:rsid w:val="16693DC2"/>
    <w:rsid w:val="16AD7FB9"/>
    <w:rsid w:val="17EDC74B"/>
    <w:rsid w:val="183F1493"/>
    <w:rsid w:val="18FC4FBA"/>
    <w:rsid w:val="190768CF"/>
    <w:rsid w:val="191A3F73"/>
    <w:rsid w:val="19586D6E"/>
    <w:rsid w:val="19AF3334"/>
    <w:rsid w:val="1A382FFA"/>
    <w:rsid w:val="1A490D88"/>
    <w:rsid w:val="1AAB4A91"/>
    <w:rsid w:val="1B0E4ACA"/>
    <w:rsid w:val="1B8B48E8"/>
    <w:rsid w:val="1C3E3265"/>
    <w:rsid w:val="1C9808FD"/>
    <w:rsid w:val="1D472D31"/>
    <w:rsid w:val="1D934311"/>
    <w:rsid w:val="1DC5074D"/>
    <w:rsid w:val="1F096FB1"/>
    <w:rsid w:val="202A40A9"/>
    <w:rsid w:val="205920A6"/>
    <w:rsid w:val="22873147"/>
    <w:rsid w:val="229233C9"/>
    <w:rsid w:val="23737E65"/>
    <w:rsid w:val="23DA218B"/>
    <w:rsid w:val="26C43448"/>
    <w:rsid w:val="27143262"/>
    <w:rsid w:val="29953030"/>
    <w:rsid w:val="29F90ABD"/>
    <w:rsid w:val="2A055136"/>
    <w:rsid w:val="2A213392"/>
    <w:rsid w:val="2A5700B2"/>
    <w:rsid w:val="2AC96FF6"/>
    <w:rsid w:val="2B5E7BEB"/>
    <w:rsid w:val="2C866B0B"/>
    <w:rsid w:val="2CA53EE5"/>
    <w:rsid w:val="2D441354"/>
    <w:rsid w:val="2D5304A2"/>
    <w:rsid w:val="2D68079A"/>
    <w:rsid w:val="2DF700D9"/>
    <w:rsid w:val="2E4550FC"/>
    <w:rsid w:val="2E514683"/>
    <w:rsid w:val="2EBACCEC"/>
    <w:rsid w:val="2EE40EC3"/>
    <w:rsid w:val="2F276578"/>
    <w:rsid w:val="2FFC7DCE"/>
    <w:rsid w:val="30315142"/>
    <w:rsid w:val="303B7C0D"/>
    <w:rsid w:val="32C1444F"/>
    <w:rsid w:val="339B1F4B"/>
    <w:rsid w:val="374F01EB"/>
    <w:rsid w:val="376D011C"/>
    <w:rsid w:val="38891DB8"/>
    <w:rsid w:val="38A16843"/>
    <w:rsid w:val="398F5D75"/>
    <w:rsid w:val="39B44240"/>
    <w:rsid w:val="3ABA7D5B"/>
    <w:rsid w:val="3C4F4F38"/>
    <w:rsid w:val="3CE416AE"/>
    <w:rsid w:val="3E212E4F"/>
    <w:rsid w:val="3EAD0C0C"/>
    <w:rsid w:val="3F7FF403"/>
    <w:rsid w:val="42A12B39"/>
    <w:rsid w:val="436C4015"/>
    <w:rsid w:val="43D025F5"/>
    <w:rsid w:val="472E36B4"/>
    <w:rsid w:val="47517ACB"/>
    <w:rsid w:val="48B76D8F"/>
    <w:rsid w:val="49764F17"/>
    <w:rsid w:val="49DD2383"/>
    <w:rsid w:val="4B840A10"/>
    <w:rsid w:val="4CA639F1"/>
    <w:rsid w:val="4E783197"/>
    <w:rsid w:val="4FB7655E"/>
    <w:rsid w:val="506426EF"/>
    <w:rsid w:val="52432EDE"/>
    <w:rsid w:val="5449480A"/>
    <w:rsid w:val="557E53F1"/>
    <w:rsid w:val="57533BFC"/>
    <w:rsid w:val="57E61A10"/>
    <w:rsid w:val="57FF4FBB"/>
    <w:rsid w:val="58D36AC3"/>
    <w:rsid w:val="594E097A"/>
    <w:rsid w:val="59F65C7E"/>
    <w:rsid w:val="5AB513A2"/>
    <w:rsid w:val="5B64133E"/>
    <w:rsid w:val="5B9A4CA7"/>
    <w:rsid w:val="5D7A3760"/>
    <w:rsid w:val="5F2D2C93"/>
    <w:rsid w:val="5FBF5A6B"/>
    <w:rsid w:val="60E63616"/>
    <w:rsid w:val="60FB2C8B"/>
    <w:rsid w:val="61907CF7"/>
    <w:rsid w:val="61C548D6"/>
    <w:rsid w:val="62667A04"/>
    <w:rsid w:val="63123A52"/>
    <w:rsid w:val="63441F36"/>
    <w:rsid w:val="641941AB"/>
    <w:rsid w:val="64C701D0"/>
    <w:rsid w:val="657E0B48"/>
    <w:rsid w:val="66BB6DD6"/>
    <w:rsid w:val="67FA3CBD"/>
    <w:rsid w:val="67FF5FF1"/>
    <w:rsid w:val="688D6DBF"/>
    <w:rsid w:val="69BE70C4"/>
    <w:rsid w:val="6A2A1384"/>
    <w:rsid w:val="6AFEE48C"/>
    <w:rsid w:val="6B5E0AAF"/>
    <w:rsid w:val="6BD31768"/>
    <w:rsid w:val="6D103417"/>
    <w:rsid w:val="6D342528"/>
    <w:rsid w:val="6D73A7A8"/>
    <w:rsid w:val="6DED540B"/>
    <w:rsid w:val="6E0E3C8F"/>
    <w:rsid w:val="6E2D17C7"/>
    <w:rsid w:val="6EC205F2"/>
    <w:rsid w:val="6F6A7C8A"/>
    <w:rsid w:val="714A1482"/>
    <w:rsid w:val="717383BB"/>
    <w:rsid w:val="7275252F"/>
    <w:rsid w:val="72FB5971"/>
    <w:rsid w:val="7367CFA8"/>
    <w:rsid w:val="7368470D"/>
    <w:rsid w:val="73762533"/>
    <w:rsid w:val="73F6855F"/>
    <w:rsid w:val="7419338E"/>
    <w:rsid w:val="74507E06"/>
    <w:rsid w:val="74FD2CB8"/>
    <w:rsid w:val="75FF44DB"/>
    <w:rsid w:val="76073057"/>
    <w:rsid w:val="76413F68"/>
    <w:rsid w:val="765C6DB5"/>
    <w:rsid w:val="77210E87"/>
    <w:rsid w:val="77B1FF77"/>
    <w:rsid w:val="78505870"/>
    <w:rsid w:val="797F503F"/>
    <w:rsid w:val="799A7C87"/>
    <w:rsid w:val="7A6B49A6"/>
    <w:rsid w:val="7B5615BC"/>
    <w:rsid w:val="7B973D59"/>
    <w:rsid w:val="7BAE59D5"/>
    <w:rsid w:val="7BEC7AA8"/>
    <w:rsid w:val="7BF83C8C"/>
    <w:rsid w:val="7BFE8EC0"/>
    <w:rsid w:val="7C815F74"/>
    <w:rsid w:val="7D711B88"/>
    <w:rsid w:val="7DF77DD2"/>
    <w:rsid w:val="7DFFA53F"/>
    <w:rsid w:val="7F2FE11E"/>
    <w:rsid w:val="7F7BA24F"/>
    <w:rsid w:val="7FAB99E8"/>
    <w:rsid w:val="7FB746D5"/>
    <w:rsid w:val="7FDE543C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subject"/>
    <w:basedOn w:val="5"/>
    <w:next w:val="5"/>
    <w:link w:val="35"/>
    <w:semiHidden/>
    <w:unhideWhenUsed/>
    <w:qFormat/>
    <w:uiPriority w:val="99"/>
    <w:rPr>
      <w:b/>
      <w:bCs/>
    </w:rPr>
  </w:style>
  <w:style w:type="paragraph" w:styleId="5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7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8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9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character" w:styleId="17">
    <w:name w:val="Strong"/>
    <w:basedOn w:val="16"/>
    <w:qFormat/>
    <w:uiPriority w:val="0"/>
    <w:rPr>
      <w:b/>
      <w:bCs/>
    </w:rPr>
  </w:style>
  <w:style w:type="character" w:styleId="18">
    <w:name w:val="page number"/>
    <w:basedOn w:val="16"/>
    <w:qFormat/>
    <w:uiPriority w:val="0"/>
  </w:style>
  <w:style w:type="character" w:styleId="19">
    <w:name w:val="Hyperlink"/>
    <w:qFormat/>
    <w:uiPriority w:val="99"/>
    <w:rPr>
      <w:color w:val="0000FF"/>
      <w:u w:val="single"/>
    </w:rPr>
  </w:style>
  <w:style w:type="character" w:styleId="20">
    <w:name w:val="annotation reference"/>
    <w:basedOn w:val="16"/>
    <w:semiHidden/>
    <w:unhideWhenUsed/>
    <w:qFormat/>
    <w:uiPriority w:val="99"/>
    <w:rPr>
      <w:sz w:val="21"/>
      <w:szCs w:val="21"/>
    </w:rPr>
  </w:style>
  <w:style w:type="table" w:styleId="22">
    <w:name w:val="Table Grid"/>
    <w:basedOn w:val="2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23">
    <w:name w:val="标题 1 字符"/>
    <w:basedOn w:val="16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6"/>
    <w:link w:val="11"/>
    <w:qFormat/>
    <w:uiPriority w:val="0"/>
    <w:rPr>
      <w:sz w:val="18"/>
      <w:szCs w:val="18"/>
    </w:rPr>
  </w:style>
  <w:style w:type="character" w:customStyle="1" w:styleId="26">
    <w:name w:val="页脚 字符"/>
    <w:basedOn w:val="16"/>
    <w:link w:val="10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字符"/>
    <w:basedOn w:val="16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字符"/>
    <w:basedOn w:val="16"/>
    <w:link w:val="5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字符"/>
    <w:basedOn w:val="16"/>
    <w:link w:val="7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字符"/>
    <w:basedOn w:val="16"/>
    <w:link w:val="8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字符"/>
    <w:basedOn w:val="16"/>
    <w:link w:val="15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字符"/>
    <w:basedOn w:val="29"/>
    <w:link w:val="4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Heading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1383</Words>
  <Characters>1615</Characters>
  <Lines>365</Lines>
  <Paragraphs>102</Paragraphs>
  <TotalTime>6</TotalTime>
  <ScaleCrop>false</ScaleCrop>
  <LinksUpToDate>false</LinksUpToDate>
  <CharactersWithSpaces>1616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2022-01-23T08:15:00Z</dcterms:created>
  <dc:creator>胡胜链</dc:creator>
  <cp:lastModifiedBy>JS111445</cp:lastModifiedBy>
  <cp:lastPrinted>2022-01-25T09:53:00Z</cp:lastPrinted>
  <dcterms:modified xsi:type="dcterms:W3CDTF">2023-03-13T04:53:37Z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BC1FE79FB1D04E8D909274B0E058E937</vt:lpwstr>
  </property>
</Properties>
</file>